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729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72990"/>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BUTITTA CYNTHIA M</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C/O OLEMA PHARMACEUTICALS, INC.</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780 BRANNAN 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Olema Pharmaceuticals,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OLMA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06/18/2026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84" w:lineRule="exact"/>
        <w:rPr>
          <w:sz w:val="24"/>
          <w:szCs w:val="24"/>
          <w:color w:val="auto"/>
        </w:rPr>
      </w:pPr>
    </w:p>
    <w:p>
      <w:pPr>
        <w:sectPr>
          <w:pgSz w:w="11900" w:h="16838" w:orient="portrait"/>
          <w:cols w:equalWidth="0" w:num="3">
            <w:col w:w="3200" w:space="720"/>
            <w:col w:w="3140" w:space="68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4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94103</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gridSpan w:val="2"/>
          </w:tcPr>
          <w:p>
            <w:pPr>
              <w:spacing w:after="0"/>
              <w:rPr>
                <w:sz w:val="8"/>
                <w:szCs w:val="8"/>
                <w:color w:val="auto"/>
              </w:rPr>
            </w:pPr>
          </w:p>
        </w:tc>
        <w:tc>
          <w:tcPr>
            <w:tcW w:w="11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40" w:type="dxa"/>
            <w:vAlign w:val="bottom"/>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9.51</w:t>
            </w:r>
          </w:p>
        </w:tc>
        <w:tc>
          <w:tcPr>
            <w:tcW w:w="140" w:type="dxa"/>
            <w:vAlign w:val="bottom"/>
          </w:tcPr>
          <w:p>
            <w:pPr>
              <w:spacing w:after="0"/>
              <w:rPr>
                <w:sz w:val="16"/>
                <w:szCs w:val="16"/>
                <w:color w:val="auto"/>
              </w:rPr>
            </w:pPr>
          </w:p>
        </w:tc>
        <w:tc>
          <w:tcPr>
            <w:tcW w:w="1040" w:type="dxa"/>
            <w:vAlign w:val="bottom"/>
          </w:tcPr>
          <w:p>
            <w:pPr>
              <w:ind w:left="260"/>
              <w:spacing w:after="0"/>
              <w:rPr>
                <w:sz w:val="20"/>
                <w:szCs w:val="20"/>
                <w:color w:val="auto"/>
              </w:rPr>
            </w:pPr>
            <w:r>
              <w:rPr>
                <w:rFonts w:ascii="Times New Roman" w:cs="Times New Roman" w:eastAsia="Times New Roman" w:hAnsi="Times New Roman"/>
                <w:sz w:val="13"/>
                <w:szCs w:val="13"/>
                <w:color w:val="0000FF"/>
              </w:rPr>
              <w:t>06/18/2026</w:t>
            </w: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29,500</w:t>
            </w:r>
          </w:p>
        </w:tc>
        <w:tc>
          <w:tcPr>
            <w:tcW w:w="340" w:type="dxa"/>
            <w:vAlign w:val="bottom"/>
          </w:tcPr>
          <w:p>
            <w:pPr>
              <w:spacing w:after="0"/>
              <w:rPr>
                <w:sz w:val="16"/>
                <w:szCs w:val="16"/>
                <w:color w:val="auto"/>
              </w:rPr>
            </w:pPr>
          </w:p>
        </w:tc>
        <w:tc>
          <w:tcPr>
            <w:tcW w:w="76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06/18/2036</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29,500</w:t>
            </w:r>
          </w:p>
        </w:tc>
        <w:tc>
          <w:tcPr>
            <w:tcW w:w="60" w:type="dxa"/>
            <w:vAlign w:val="bottom"/>
          </w:tcPr>
          <w:p>
            <w:pPr>
              <w:spacing w:after="0"/>
              <w:rPr>
                <w:sz w:val="16"/>
                <w:szCs w:val="16"/>
                <w:color w:val="auto"/>
              </w:rPr>
            </w:pPr>
          </w:p>
        </w:tc>
        <w:tc>
          <w:tcPr>
            <w:tcW w:w="70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rPr>
                <w:sz w:val="20"/>
                <w:szCs w:val="20"/>
                <w:color w:val="auto"/>
              </w:rPr>
            </w:pPr>
            <w:r>
              <w:rPr>
                <w:rFonts w:ascii="Times New Roman" w:cs="Times New Roman" w:eastAsia="Times New Roman" w:hAnsi="Times New Roman"/>
                <w:sz w:val="13"/>
                <w:szCs w:val="13"/>
                <w:color w:val="0000FF"/>
                <w:w w:val="94"/>
              </w:rPr>
              <w:t>29,500</w:t>
            </w:r>
          </w:p>
        </w:tc>
        <w:tc>
          <w:tcPr>
            <w:tcW w:w="280" w:type="dxa"/>
            <w:vAlign w:val="bottom"/>
          </w:tcPr>
          <w:p>
            <w:pPr>
              <w:spacing w:after="0"/>
              <w:rPr>
                <w:sz w:val="16"/>
                <w:szCs w:val="16"/>
                <w:color w:val="auto"/>
              </w:rPr>
            </w:pP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0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vest in a series of 12 successive equal monthly installments measured from June 18, 2026, subject to the Reporting Person's continuous service through each applicable vesting date. Such shares vest in full on the date of the Issuer's next annual meeting of stockholders if such stock option is not otherwise fully vested by such date, subject to the Reporting Person's continuous service through such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Shawnte Mitchell, Attorney- </w:t>
      </w:r>
      <w:r>
        <w:rPr>
          <w:rFonts w:ascii="Times New Roman" w:cs="Times New Roman" w:eastAsia="Times New Roman" w:hAnsi="Times New Roman"/>
          <w:sz w:val="32"/>
          <w:szCs w:val="32"/>
          <w:color w:val="0000FF"/>
          <w:vertAlign w:val="subscript"/>
        </w:rPr>
        <w:t>06/23/2026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4810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81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3016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0162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222082" TargetMode="External"/><Relationship Id="rId14" Type="http://schemas.openxmlformats.org/officeDocument/2006/relationships/hyperlink" Target="http://www.sec.gov/cgi-bin/browse-edgar?action=getcompany&amp;CIK=000175028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2026-06-23T17:06:49Z</dcterms:created>
  <dcterms:modified xsi:type="dcterms:W3CDTF">2026-06-23T17:06:49Z</dcterms:modified>
</cp:coreProperties>
</file>